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0" w:firstLineChars="200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附件2：综合考核内容及评价指标分值表</w:t>
      </w:r>
    </w:p>
    <w:tbl>
      <w:tblPr>
        <w:tblStyle w:val="2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5889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评价指标</w:t>
            </w: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分等级评价标准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参考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分值（加权后）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英语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写作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、听力和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口语</w:t>
            </w: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A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 xml:space="preserve"> 熟练运用英语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读写和日常及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专业交流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具有良好的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英语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听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说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能力。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-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 xml:space="preserve"> 能够运用英语读写和日常及专业交流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，具备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较好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的英语听说能力。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1-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能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运用英语进行简单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应用及交流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，具备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有限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的英语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听说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能力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-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 xml:space="preserve">D 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英语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交流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能力较弱。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0-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bookmarkStart w:id="0" w:name="_GoBack" w:colFirst="2" w:colLast="2"/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专业基础和综合及实践创新能力</w:t>
            </w: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A具有扎实的基础理论和专业综合知识，实践创新能力强。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1-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B能够较好地掌握本专业的基础理论和专业综合知识，具有较强的实践创新能力。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C基本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掌握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本专业的基础理论和专业综合知识，具有一定的实践创新能力。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D不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掌握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本专业的基础理论和专业综合知识，实践创新能力不够。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0-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沟通与合作能力</w:t>
            </w: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A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 xml:space="preserve"> 积极向上，乐观自信，善于沟通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，工作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协调能力强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，富有挑战和良好的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团队合作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精神。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B心态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健康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，积极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热情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具有良好的人际交流和团队协作能力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C 具有一定的团队合作和人际沟通能力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  <w:t>D 人际沟通能力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较弱。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10DEB"/>
    <w:rsid w:val="287A678D"/>
    <w:rsid w:val="3891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439</Characters>
  <Lines>0</Lines>
  <Paragraphs>0</Paragraphs>
  <TotalTime>0</TotalTime>
  <ScaleCrop>false</ScaleCrop>
  <LinksUpToDate>false</LinksUpToDate>
  <CharactersWithSpaces>445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2022-03-23T11:00:00Z</dcterms:created>
  <dc:creator>Wendy</dc:creator>
  <cp:lastModifiedBy>Wendy</cp:lastModifiedBy>
  <dcterms:modified xsi:type="dcterms:W3CDTF">2022-03-23T11:20:12Z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5312E3ADBF304A75A69BC3B095647C58</vt:lpwstr>
  </property>
</Properties>
</file>